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63" w:after="163"/>
      </w:pPr>
      <w:r>
        <w:rPr>
          <w:rFonts w:hint="eastAsia"/>
        </w:rPr>
        <w:t>售后服务方案</w:t>
      </w:r>
    </w:p>
    <w:p>
      <w:pPr>
        <w:pStyle w:val="3"/>
      </w:pPr>
      <w:r>
        <w:rPr>
          <w:rFonts w:hint="eastAsia"/>
        </w:rPr>
        <w:t>耗材</w:t>
      </w:r>
      <w:bookmarkStart w:id="11" w:name="_GoBack"/>
      <w:bookmarkEnd w:id="11"/>
    </w:p>
    <w:p>
      <w:pPr>
        <w:ind w:firstLine="480"/>
        <w:rPr>
          <w:rFonts w:ascii="宋体" w:hAnsi="宋体"/>
          <w:szCs w:val="24"/>
        </w:rPr>
      </w:pPr>
      <w:bookmarkStart w:id="0" w:name="_Hlk528242389"/>
      <w:r>
        <w:rPr>
          <w:rFonts w:hint="eastAsia" w:ascii="宋体" w:hAnsi="宋体"/>
          <w:szCs w:val="24"/>
        </w:rPr>
        <w:t>免费提供为期2年的耗材，采购人有权在不变更单价的情况下，选择购买的类型和数量。</w:t>
      </w:r>
      <w:bookmarkEnd w:id="0"/>
    </w:p>
    <w:p>
      <w:pPr>
        <w:pStyle w:val="3"/>
      </w:pPr>
      <w:r>
        <w:rPr>
          <w:rFonts w:hint="eastAsia"/>
        </w:rPr>
        <w:t>备品备件</w:t>
      </w:r>
    </w:p>
    <w:p>
      <w:pPr>
        <w:ind w:firstLine="480"/>
        <w:rPr>
          <w:rFonts w:ascii="宋体" w:hAnsi="宋体"/>
          <w:szCs w:val="24"/>
        </w:rPr>
      </w:pPr>
      <w:bookmarkStart w:id="1" w:name="_Hlk528242417"/>
      <w:r>
        <w:rPr>
          <w:rFonts w:hint="eastAsia" w:ascii="宋体" w:hAnsi="宋体"/>
          <w:szCs w:val="24"/>
        </w:rPr>
        <w:t>根据所采用的硬件设备，提供关键设备的备品备件清单，保证所有系统</w:t>
      </w:r>
      <w:r>
        <w:rPr>
          <w:rFonts w:ascii="宋体" w:hAnsi="宋体"/>
          <w:szCs w:val="24"/>
        </w:rPr>
        <w:t>2</w:t>
      </w:r>
      <w:r>
        <w:rPr>
          <w:rFonts w:hint="eastAsia" w:ascii="宋体" w:hAnsi="宋体"/>
          <w:szCs w:val="24"/>
        </w:rPr>
        <w:t>年正常运行需要，备品备件的清单明细及价格如下表所示：</w:t>
      </w:r>
      <w:bookmarkEnd w:id="1"/>
    </w:p>
    <w:tbl>
      <w:tblPr>
        <w:tblStyle w:val="4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2739"/>
        <w:gridCol w:w="1049"/>
        <w:gridCol w:w="1049"/>
        <w:gridCol w:w="1380"/>
        <w:gridCol w:w="15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tblHeader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/>
                <w:sz w:val="22"/>
              </w:rPr>
            </w:pPr>
            <w:bookmarkStart w:id="2" w:name="_Hlk528242428"/>
            <w:r>
              <w:rPr>
                <w:rFonts w:hint="eastAsia" w:ascii="宋体" w:hAnsi="宋体" w:cs="宋体"/>
                <w:b/>
                <w:bCs/>
                <w:color w:val="000000"/>
                <w:sz w:val="22"/>
              </w:rPr>
              <w:t>序号</w:t>
            </w:r>
          </w:p>
        </w:tc>
        <w:tc>
          <w:tcPr>
            <w:tcW w:w="2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</w:rPr>
              <w:t>名称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</w:rPr>
              <w:t>单位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</w:rPr>
              <w:t>数量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</w:rPr>
              <w:t>单价（元）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在线液位传感器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台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13500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2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RTU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台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6800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2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G</w:t>
            </w:r>
            <w:r>
              <w:rPr>
                <w:rFonts w:ascii="宋体" w:hAnsi="宋体" w:cs="宋体"/>
                <w:color w:val="000000"/>
                <w:sz w:val="22"/>
              </w:rPr>
              <w:t>PRS</w:t>
            </w:r>
            <w:r>
              <w:rPr>
                <w:rFonts w:hint="eastAsia" w:ascii="宋体" w:hAnsi="宋体" w:cs="宋体"/>
                <w:color w:val="000000"/>
                <w:sz w:val="22"/>
              </w:rPr>
              <w:t>/</w:t>
            </w:r>
            <w:r>
              <w:rPr>
                <w:rFonts w:ascii="宋体" w:hAnsi="宋体" w:cs="宋体"/>
                <w:color w:val="000000"/>
                <w:sz w:val="22"/>
              </w:rPr>
              <w:t>GSM</w:t>
            </w:r>
            <w:r>
              <w:rPr>
                <w:rFonts w:hint="eastAsia" w:ascii="宋体" w:hAnsi="宋体" w:cs="宋体"/>
                <w:color w:val="000000"/>
                <w:sz w:val="22"/>
              </w:rPr>
              <w:t>通信模块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台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300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2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太阳能电池板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组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1015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2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充电保护器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台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359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2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太阳能电池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组件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1070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2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通讯线缆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100m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950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2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铠装电缆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100m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980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2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通讯卡流量费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张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400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一年</w:t>
            </w:r>
          </w:p>
        </w:tc>
      </w:tr>
      <w:bookmarkEnd w:id="2"/>
    </w:tbl>
    <w:p>
      <w:pPr>
        <w:pStyle w:val="3"/>
      </w:pPr>
      <w:bookmarkStart w:id="3" w:name="_Toc23794"/>
      <w:bookmarkStart w:id="4" w:name="_Toc25599"/>
      <w:r>
        <w:rPr>
          <w:rFonts w:hint="eastAsia"/>
        </w:rPr>
        <w:t>售后服务人员和机构保障</w:t>
      </w:r>
      <w:bookmarkEnd w:id="3"/>
      <w:bookmarkEnd w:id="4"/>
    </w:p>
    <w:p>
      <w:pPr>
        <w:ind w:firstLine="480"/>
        <w:rPr>
          <w:rFonts w:ascii="宋体" w:hAnsi="宋体"/>
          <w:szCs w:val="24"/>
        </w:rPr>
      </w:pPr>
      <w:bookmarkStart w:id="5" w:name="_Hlk528241414"/>
      <w:r>
        <w:rPr>
          <w:rFonts w:hint="eastAsia" w:ascii="宋体" w:hAnsi="宋体"/>
          <w:szCs w:val="24"/>
        </w:rPr>
        <w:t>对于本项目的质保期服务工作，结合公司现有的资源，根据用户实际需要，组建的规范、高效、强有力的服务人员机构。</w:t>
      </w:r>
    </w:p>
    <w:tbl>
      <w:tblPr>
        <w:tblStyle w:val="4"/>
        <w:tblW w:w="80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1144"/>
        <w:gridCol w:w="2476"/>
        <w:gridCol w:w="1462"/>
        <w:gridCol w:w="2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28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序号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姓名</w:t>
            </w:r>
          </w:p>
        </w:tc>
        <w:tc>
          <w:tcPr>
            <w:tcW w:w="2476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岗位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职称</w:t>
            </w:r>
          </w:p>
        </w:tc>
        <w:tc>
          <w:tcPr>
            <w:tcW w:w="2067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8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李锦</w:t>
            </w:r>
          </w:p>
        </w:tc>
        <w:tc>
          <w:tcPr>
            <w:tcW w:w="2476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客户服务专员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/</w:t>
            </w:r>
          </w:p>
        </w:tc>
        <w:tc>
          <w:tcPr>
            <w:tcW w:w="2067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18171265989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8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陈鹏</w:t>
            </w:r>
          </w:p>
        </w:tc>
        <w:tc>
          <w:tcPr>
            <w:tcW w:w="2476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技术人员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工程师</w:t>
            </w:r>
          </w:p>
        </w:tc>
        <w:tc>
          <w:tcPr>
            <w:tcW w:w="2067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15271900894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8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陈翔</w:t>
            </w:r>
          </w:p>
        </w:tc>
        <w:tc>
          <w:tcPr>
            <w:tcW w:w="2476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技术人员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工程师</w:t>
            </w:r>
          </w:p>
        </w:tc>
        <w:tc>
          <w:tcPr>
            <w:tcW w:w="2067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18507102796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8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朱方仁</w:t>
            </w:r>
          </w:p>
        </w:tc>
        <w:tc>
          <w:tcPr>
            <w:tcW w:w="2476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系统现场维护人员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工程师</w:t>
            </w:r>
          </w:p>
        </w:tc>
        <w:tc>
          <w:tcPr>
            <w:tcW w:w="2067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18907171008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8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5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刘鹏</w:t>
            </w:r>
          </w:p>
        </w:tc>
        <w:tc>
          <w:tcPr>
            <w:tcW w:w="2476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系统集成项目经理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工程师</w:t>
            </w:r>
          </w:p>
        </w:tc>
        <w:tc>
          <w:tcPr>
            <w:tcW w:w="2067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13554534077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8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6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潘锡秋</w:t>
            </w:r>
          </w:p>
        </w:tc>
        <w:tc>
          <w:tcPr>
            <w:tcW w:w="2476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系统现场维护人员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工程师</w:t>
            </w:r>
          </w:p>
        </w:tc>
        <w:tc>
          <w:tcPr>
            <w:tcW w:w="2067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15623666650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8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7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朱亮</w:t>
            </w:r>
          </w:p>
        </w:tc>
        <w:tc>
          <w:tcPr>
            <w:tcW w:w="2476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系统现场维护人员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工程师</w:t>
            </w:r>
          </w:p>
        </w:tc>
        <w:tc>
          <w:tcPr>
            <w:tcW w:w="2067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18872236680</w:t>
            </w:r>
          </w:p>
        </w:tc>
      </w:tr>
    </w:tbl>
    <w:p>
      <w:pPr>
        <w:ind w:firstLine="48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1．客户服务专员：负责向用户提供联络服务，和客户保持沟通与协调。</w:t>
      </w:r>
    </w:p>
    <w:p>
      <w:pPr>
        <w:ind w:firstLine="48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2．专业技术人员：负责提供日常相关技术问题的咨询服务，并负责解决与业务有关的问题。</w:t>
      </w:r>
    </w:p>
    <w:p>
      <w:pPr>
        <w:ind w:firstLine="48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3．系统现场维护人员：负责在用户现场进行日常的系统维护工作，并编制系统维护报告。</w:t>
      </w:r>
      <w:bookmarkEnd w:id="5"/>
    </w:p>
    <w:p>
      <w:pPr>
        <w:pStyle w:val="3"/>
      </w:pPr>
      <w:r>
        <w:t>质量保证承诺</w:t>
      </w:r>
    </w:p>
    <w:p>
      <w:pPr>
        <w:ind w:firstLine="482"/>
        <w:rPr>
          <w:rFonts w:ascii="宋体" w:hAnsi="宋体"/>
          <w:b/>
          <w:szCs w:val="24"/>
          <w:lang w:val="zh-CN"/>
        </w:rPr>
      </w:pPr>
      <w:bookmarkStart w:id="6" w:name="_Hlk528241116"/>
      <w:r>
        <w:rPr>
          <w:rFonts w:hint="eastAsia" w:ascii="宋体" w:hAnsi="宋体"/>
          <w:b/>
          <w:szCs w:val="24"/>
          <w:lang w:val="zh-CN"/>
        </w:rPr>
        <w:t>质保期：整个工程质保</w:t>
      </w:r>
      <w:r>
        <w:rPr>
          <w:rFonts w:ascii="宋体" w:hAnsi="宋体"/>
          <w:b/>
          <w:szCs w:val="24"/>
          <w:lang w:val="zh-CN"/>
        </w:rPr>
        <w:t>2</w:t>
      </w:r>
      <w:r>
        <w:rPr>
          <w:rFonts w:hint="eastAsia" w:ascii="宋体" w:hAnsi="宋体"/>
          <w:b/>
          <w:szCs w:val="24"/>
          <w:lang w:val="zh-CN"/>
        </w:rPr>
        <w:t>年。</w:t>
      </w:r>
    </w:p>
    <w:p>
      <w:pPr>
        <w:ind w:firstLine="482"/>
        <w:rPr>
          <w:rFonts w:ascii="宋体" w:hAnsi="宋体"/>
          <w:b/>
          <w:szCs w:val="24"/>
          <w:lang w:val="zh-CN"/>
        </w:rPr>
      </w:pPr>
      <w:r>
        <w:rPr>
          <w:rFonts w:hint="eastAsia" w:ascii="宋体" w:hAnsi="宋体"/>
          <w:b/>
        </w:rPr>
        <w:t>产品符合国家质量检测标准和本招标文件规定标准的全新正品现货，提供随货物《产品合格证》及其它相关质量证明文件。</w:t>
      </w:r>
    </w:p>
    <w:p>
      <w:pPr>
        <w:ind w:firstLine="480"/>
        <w:rPr>
          <w:rFonts w:ascii="宋体" w:hAnsi="宋体"/>
          <w:szCs w:val="24"/>
          <w:lang w:val="zh-CN"/>
        </w:rPr>
      </w:pPr>
      <w:r>
        <w:rPr>
          <w:rFonts w:hint="eastAsia" w:ascii="宋体" w:hAnsi="宋体"/>
          <w:szCs w:val="24"/>
          <w:lang w:val="zh-CN"/>
        </w:rPr>
        <w:t>我公司郑重承诺如下：我公司生产或代理的产品从设计、生产、检测到产品包装，运输及售后服务各环节，产品质量严格按照国标、行标和企标要求进行出厂检验，不合格产品决不出厂。不定期邀请有关专家来公司监督、指导工作，严把质量关。</w:t>
      </w:r>
    </w:p>
    <w:p>
      <w:pPr>
        <w:ind w:firstLine="480"/>
        <w:rPr>
          <w:rFonts w:ascii="宋体" w:hAnsi="宋体"/>
          <w:szCs w:val="24"/>
          <w:lang w:val="zh-CN"/>
        </w:rPr>
      </w:pPr>
      <w:r>
        <w:rPr>
          <w:rFonts w:hint="eastAsia" w:ascii="宋体" w:hAnsi="宋体"/>
          <w:szCs w:val="24"/>
          <w:lang w:val="zh-CN"/>
        </w:rPr>
        <w:t>为确保原材料质量，我公司均在严格评审的合格供方采购。进厂原材料经检验合格后方能入库，确保入库合格率达到100%。各主要材料优先采购国家重点和定点企业优质产品，实行层层把关检测审核制度。</w:t>
      </w:r>
    </w:p>
    <w:p>
      <w:pPr>
        <w:ind w:firstLine="480"/>
        <w:rPr>
          <w:rFonts w:ascii="宋体" w:hAnsi="宋体"/>
          <w:szCs w:val="24"/>
          <w:lang w:val="zh-CN"/>
        </w:rPr>
      </w:pPr>
      <w:r>
        <w:rPr>
          <w:rFonts w:hint="eastAsia" w:ascii="宋体" w:hAnsi="宋体"/>
          <w:szCs w:val="24"/>
          <w:lang w:val="zh-CN"/>
        </w:rPr>
        <w:t>为确保产品质量，对生产各环节严格进行控制，工装过程中实行质量跟踪卡制度，当产品质量出现质量问题时可追溯班组和个人，并及时采取纠正和预防措施，使进入下一道产品合格率达100%。</w:t>
      </w:r>
    </w:p>
    <w:p>
      <w:pPr>
        <w:ind w:firstLine="48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  <w:lang w:val="zh-CN"/>
        </w:rPr>
        <w:t>公司对产品的检验进行严格控制，确保未经检验的产品不投入使用和出厂。由质检部的技术人员，对产品生产过程中的工序及成品严格按照产品的技术条款，设计图纸和有关标准及质量规格进行质量检</w:t>
      </w:r>
      <w:r>
        <w:rPr>
          <w:rFonts w:hint="eastAsia" w:ascii="宋体" w:hAnsi="宋体"/>
          <w:szCs w:val="24"/>
        </w:rPr>
        <w:t>验，检验合格后出具相应的检验报告及有关记录。</w:t>
      </w:r>
    </w:p>
    <w:p>
      <w:pPr>
        <w:ind w:firstLine="48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不合格品的控制我公司实行三检制度（自检、互检、专检），以防止不合格。采取有效的纠正和预防措施，消除实际和潜在的不合格因素，防止类似质量问题发生。</w:t>
      </w:r>
    </w:p>
    <w:p>
      <w:pPr>
        <w:ind w:firstLine="48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对产品成型过程中影响质量的搬运、包装和交付各环节进行控制，以防产品损坏，在产品最终验收合格后根据所签合同的运输方式及有关要求，对产品进行包装和防护，确保完好无损地将产品运输到目的地。</w:t>
      </w:r>
      <w:bookmarkEnd w:id="6"/>
    </w:p>
    <w:p>
      <w:pPr>
        <w:pStyle w:val="3"/>
      </w:pPr>
      <w:r>
        <w:t>售后服务承诺</w:t>
      </w:r>
    </w:p>
    <w:p>
      <w:pPr>
        <w:ind w:firstLine="480"/>
        <w:rPr>
          <w:rFonts w:ascii="宋体" w:hAnsi="宋体"/>
          <w:szCs w:val="24"/>
        </w:rPr>
      </w:pPr>
      <w:bookmarkStart w:id="7" w:name="_Hlk528241155"/>
      <w:r>
        <w:rPr>
          <w:rFonts w:hint="eastAsia" w:ascii="宋体" w:hAnsi="宋体"/>
          <w:szCs w:val="24"/>
          <w:lang w:val="zh-CN"/>
        </w:rPr>
        <w:t>我公司郑重承诺如下：</w:t>
      </w:r>
      <w:r>
        <w:rPr>
          <w:rFonts w:hint="eastAsia" w:ascii="宋体" w:hAnsi="宋体"/>
          <w:szCs w:val="24"/>
        </w:rPr>
        <w:t>质保期内一切故障维修或设备更换费用由我公司负责,免费提供培训服务，并附详细的培训方案，包括且不限于培训方式、人数、期限等内容。</w:t>
      </w:r>
    </w:p>
    <w:p>
      <w:pPr>
        <w:ind w:firstLine="48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在质保期内，提供7×24小时免备件费、免人工费、免上门服务费，服务范围包括硬、软件出现的招标方人员不能排除的故障。灾难性故障发生时，投标人做到立即响应，保证人员在6小时内到达现场，及时排除故障。局部故障24小时内解决问题，24小时不能解决，提供替代方案，保证系统正常运行，如维修不及时，提供同档次的备用机。</w:t>
      </w:r>
    </w:p>
    <w:p>
      <w:pPr>
        <w:ind w:firstLine="48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1.</w:t>
      </w:r>
      <w:r>
        <w:rPr>
          <w:rFonts w:ascii="宋体" w:hAnsi="宋体"/>
          <w:szCs w:val="24"/>
        </w:rPr>
        <w:t>定期跟踪</w:t>
      </w:r>
    </w:p>
    <w:p>
      <w:pPr>
        <w:ind w:firstLine="48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2.</w:t>
      </w:r>
      <w:r>
        <w:rPr>
          <w:rFonts w:ascii="宋体" w:hAnsi="宋体"/>
          <w:szCs w:val="24"/>
        </w:rPr>
        <w:t>每</w:t>
      </w:r>
      <w:r>
        <w:rPr>
          <w:rFonts w:hint="eastAsia" w:ascii="宋体" w:hAnsi="宋体"/>
          <w:szCs w:val="24"/>
        </w:rPr>
        <w:t>月</w:t>
      </w:r>
      <w:r>
        <w:rPr>
          <w:rFonts w:ascii="宋体" w:hAnsi="宋体"/>
          <w:szCs w:val="24"/>
        </w:rPr>
        <w:t>两次对所供设备作例行的巡检和系统整理。</w:t>
      </w:r>
    </w:p>
    <w:p>
      <w:pPr>
        <w:ind w:firstLine="48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3.</w:t>
      </w:r>
      <w:r>
        <w:rPr>
          <w:rFonts w:ascii="宋体" w:hAnsi="宋体"/>
          <w:szCs w:val="24"/>
        </w:rPr>
        <w:t>软件升级</w:t>
      </w:r>
    </w:p>
    <w:p>
      <w:pPr>
        <w:ind w:firstLine="48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4.</w:t>
      </w:r>
      <w:r>
        <w:rPr>
          <w:rFonts w:ascii="宋体" w:hAnsi="宋体"/>
          <w:szCs w:val="24"/>
        </w:rPr>
        <w:t>将及时向买方通报软件升级情况，根据买方需要给予相应的支持服务。</w:t>
      </w:r>
    </w:p>
    <w:p>
      <w:pPr>
        <w:ind w:firstLine="48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5.</w:t>
      </w:r>
      <w:r>
        <w:rPr>
          <w:rFonts w:ascii="宋体" w:hAnsi="宋体"/>
          <w:szCs w:val="24"/>
        </w:rPr>
        <w:t>保修期结束前的全面检查</w:t>
      </w:r>
    </w:p>
    <w:p>
      <w:pPr>
        <w:ind w:firstLine="48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6.</w:t>
      </w:r>
      <w:r>
        <w:rPr>
          <w:rFonts w:ascii="宋体" w:hAnsi="宋体"/>
          <w:szCs w:val="24"/>
        </w:rPr>
        <w:t>在保修期结束前，由本公司工程师和用户进行一次全面系统检查。</w:t>
      </w:r>
    </w:p>
    <w:p>
      <w:pPr>
        <w:pStyle w:val="3"/>
      </w:pPr>
      <w:bookmarkStart w:id="8" w:name="_Toc32531"/>
      <w:bookmarkStart w:id="9" w:name="_Toc14356"/>
      <w:r>
        <w:rPr>
          <w:rFonts w:hint="eastAsia"/>
        </w:rPr>
        <w:t>运维服务方案</w:t>
      </w:r>
      <w:bookmarkEnd w:id="8"/>
      <w:bookmarkEnd w:id="9"/>
    </w:p>
    <w:p>
      <w:pPr>
        <w:ind w:firstLine="480"/>
        <w:rPr>
          <w:rFonts w:ascii="宋体" w:hAnsi="宋体"/>
          <w:szCs w:val="24"/>
        </w:rPr>
      </w:pPr>
      <w:bookmarkStart w:id="10" w:name="_Hlk528240975"/>
      <w:r>
        <w:rPr>
          <w:rFonts w:hint="eastAsia" w:ascii="宋体" w:hAnsi="宋体"/>
          <w:szCs w:val="24"/>
        </w:rPr>
        <w:t>为了保障获取在线监测数据的准确与有效性，需要对在线监测设备进行定期的现场维护，设备现场维护的具体工作包括探头清洗、耗材提供与更换、备品备件更换等。运行维护工作主要包括：</w:t>
      </w:r>
    </w:p>
    <w:p>
      <w:pPr>
        <w:ind w:firstLine="48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（1）设备杂物清除与清洗</w:t>
      </w:r>
    </w:p>
    <w:p>
      <w:pPr>
        <w:ind w:firstLine="48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对监测点进行周期性巡查，及时发现并清理监测设备周边的落叶、枝桠、垃圾，以及粘附在设备周边或设备安装区域周边的各类泥沙和悬浮物，避免对设备的监测精度和准确性造成影响。</w:t>
      </w:r>
    </w:p>
    <w:p>
      <w:pPr>
        <w:ind w:firstLine="48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（2）设备日常维护管理</w:t>
      </w:r>
    </w:p>
    <w:p>
      <w:pPr>
        <w:ind w:firstLine="48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检查设备电源电量、测试信号发送和接受系统，及时导出监测数据以便数据的分析；在线监测仪器在有效使用期内应通过检定或校验，定期进行标定，以保证在线监测系统监测结果的可靠性和准确性，检查各台自动分析仪及辅助设备的运行状态和主要技术参数，判断运行是否正常。</w:t>
      </w:r>
    </w:p>
    <w:p>
      <w:pPr>
        <w:ind w:firstLine="48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（3）设备运行状态校核</w:t>
      </w:r>
    </w:p>
    <w:p>
      <w:pPr>
        <w:ind w:firstLine="48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通过安排专人对信息监测平台的监测数据进行日常跟踪，发现监测数据异常、报警、故障等情况，结合监测数据对应逻辑关系进行判定，并第一时间通知现场运维人员进行现地排查，找出导致问题的起因及时排除影响监测数据稳定上传的潜在问题，保障监测站点数据实时、准确、稳定上传。</w:t>
      </w:r>
      <w:bookmarkEnd w:id="10"/>
    </w:p>
    <w:bookmarkEnd w:id="7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B38D0"/>
    <w:multiLevelType w:val="multilevel"/>
    <w:tmpl w:val="068B38D0"/>
    <w:lvl w:ilvl="0" w:tentative="0">
      <w:start w:val="1"/>
      <w:numFmt w:val="decimal"/>
      <w:lvlText w:val="%1"/>
      <w:lvlJc w:val="left"/>
      <w:pPr>
        <w:ind w:left="0" w:firstLine="0"/>
      </w:pPr>
      <w:rPr>
        <w:rFonts w:hint="default" w:ascii="Times New Roman" w:hAnsi="Times New Roman" w:eastAsia="宋体"/>
        <w:sz w:val="32"/>
      </w:rPr>
    </w:lvl>
    <w:lvl w:ilvl="1" w:tentative="0">
      <w:start w:val="1"/>
      <w:numFmt w:val="decimal"/>
      <w:pStyle w:val="2"/>
      <w:lvlText w:val="%1.%2"/>
      <w:lvlJc w:val="left"/>
      <w:pPr>
        <w:ind w:left="0" w:firstLine="0"/>
      </w:pPr>
      <w:rPr>
        <w:rFonts w:hint="default" w:ascii="Times New Roman" w:hAnsi="Times New Roman" w:eastAsia="宋体"/>
        <w:sz w:val="30"/>
      </w:rPr>
    </w:lvl>
    <w:lvl w:ilvl="2" w:tentative="0">
      <w:start w:val="1"/>
      <w:numFmt w:val="decimal"/>
      <w:pStyle w:val="3"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651D1"/>
    <w:rsid w:val="44A6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spacing w:before="50" w:beforeLines="50" w:after="50" w:afterLines="50"/>
      <w:ind w:firstLineChars="0"/>
      <w:outlineLvl w:val="1"/>
    </w:pPr>
    <w:rPr>
      <w:rFonts w:cstheme="majorBidi"/>
      <w:b/>
      <w:bCs/>
      <w:sz w:val="30"/>
      <w:szCs w:val="32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numPr>
        <w:ilvl w:val="2"/>
        <w:numId w:val="1"/>
      </w:numPr>
      <w:ind w:firstLineChars="0"/>
      <w:outlineLvl w:val="2"/>
    </w:pPr>
    <w:rPr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2019-02-18T02:53:00Z</dcterms:created>
  <dc:creator>Administrator</dc:creator>
  <cp:lastModifiedBy>Administrator</cp:lastModifiedBy>
  <dcterms:modified xsi:type="dcterms:W3CDTF">2019-02-18T02:53:44Z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